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30"/>
          <w:sz w:val="32"/>
          <w:szCs w:val="32"/>
        </w:rPr>
        <w:t xml:space="preserve">附件 </w:t>
      </w:r>
      <w:r>
        <w:rPr>
          <w:rFonts w:hint="eastAsia" w:ascii="宋体" w:hAnsi="宋体" w:eastAsia="宋体" w:cs="宋体"/>
          <w:spacing w:val="-20"/>
          <w:sz w:val="32"/>
          <w:szCs w:val="32"/>
        </w:rPr>
        <w:t>1</w:t>
      </w:r>
    </w:p>
    <w:p>
      <w:pPr>
        <w:pStyle w:val="2"/>
        <w:spacing w:before="10"/>
        <w:rPr>
          <w:b w:val="0"/>
          <w:bCs w:val="0"/>
        </w:rPr>
      </w:pPr>
      <w:r>
        <w:rPr>
          <w:b w:val="0"/>
          <w:bCs w:val="0"/>
        </w:rPr>
        <w:br w:type="column"/>
      </w:r>
    </w:p>
    <w:p>
      <w:pPr>
        <w:pStyle w:val="2"/>
        <w:spacing w:before="1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东华理工大学职工之家建设与考评标准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footerReference r:id="rId3" w:type="default"/>
          <w:pgSz w:w="11900" w:h="16840"/>
          <w:pgMar w:top="1500" w:right="780" w:bottom="1300" w:left="860" w:header="0" w:footer="1033" w:gutter="0"/>
          <w:pgNumType w:fmt="decimal"/>
          <w:cols w:equalWidth="0" w:num="2">
            <w:col w:w="1605" w:space="40"/>
            <w:col w:w="8615"/>
          </w:cols>
        </w:sectPr>
      </w:pPr>
    </w:p>
    <w:p>
      <w:pPr>
        <w:pStyle w:val="2"/>
        <w:rPr>
          <w:rFonts w:ascii="PMingLiU"/>
          <w:sz w:val="20"/>
        </w:rPr>
      </w:pPr>
    </w:p>
    <w:p>
      <w:pPr>
        <w:pStyle w:val="2"/>
        <w:spacing w:before="11"/>
        <w:rPr>
          <w:rFonts w:ascii="PMingLiU"/>
          <w:sz w:val="13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4903"/>
        <w:gridCol w:w="645"/>
        <w:gridCol w:w="2577"/>
        <w:gridCol w:w="532"/>
        <w:gridCol w:w="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28" w:type="dxa"/>
            <w:noWrap w:val="0"/>
            <w:vAlign w:val="top"/>
          </w:tcPr>
          <w:p>
            <w:pPr>
              <w:pStyle w:val="6"/>
              <w:spacing w:line="170" w:lineRule="auto"/>
              <w:ind w:left="172" w:right="163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en-US" w:bidi="zh-CN"/>
              </w:rPr>
            </w:pPr>
          </w:p>
          <w:p>
            <w:pPr>
              <w:pStyle w:val="6"/>
              <w:spacing w:line="170" w:lineRule="auto"/>
              <w:ind w:left="172" w:right="163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en-US" w:bidi="zh-CN"/>
              </w:rPr>
              <w:t>建设</w:t>
            </w: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考</w:t>
            </w: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en-US" w:bidi="zh-CN"/>
              </w:rPr>
              <w:t>评</w:t>
            </w: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指标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1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ind w:right="1700"/>
              <w:jc w:val="center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en-US" w:bidi="zh-CN"/>
              </w:rPr>
              <w:t>建设与</w:t>
            </w: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考</w:t>
            </w: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en-US" w:bidi="zh-CN"/>
              </w:rPr>
              <w:t>评内容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95" w:line="168" w:lineRule="auto"/>
              <w:ind w:left="201" w:right="191"/>
              <w:jc w:val="both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标准分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1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ind w:left="16"/>
              <w:jc w:val="center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扣分项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spacing w:before="95" w:line="168" w:lineRule="auto"/>
              <w:ind w:left="145" w:right="132" w:firstLine="2"/>
              <w:jc w:val="both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自评分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spacing w:before="95" w:line="168" w:lineRule="auto"/>
              <w:ind w:left="148" w:right="131"/>
              <w:jc w:val="both"/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pacing w:val="-30"/>
                <w:sz w:val="24"/>
                <w:szCs w:val="24"/>
                <w:lang w:val="zh-CN" w:eastAsia="zh-CN" w:bidi="zh-CN"/>
              </w:rPr>
              <w:t>考核分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</w:t>
            </w:r>
          </w:p>
          <w:p>
            <w:pPr>
              <w:pStyle w:val="6"/>
              <w:spacing w:before="67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</w:t>
            </w:r>
          </w:p>
          <w:p>
            <w:pPr>
              <w:pStyle w:val="6"/>
              <w:spacing w:before="67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48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1．有不少于 35 平方米独立固定的活动场地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48"/>
              <w:ind w:left="2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48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不足35 平方米扣6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2．基层工会有专属办公场所并配有基本办公</w:t>
            </w:r>
          </w:p>
          <w:p>
            <w:pPr>
              <w:pStyle w:val="6"/>
              <w:spacing w:before="67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31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>无办公场所扣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</w:rPr>
              <w:t xml:space="preserve"> 分。无办公</w:t>
            </w:r>
          </w:p>
          <w:p>
            <w:pPr>
              <w:pStyle w:val="6"/>
              <w:spacing w:before="4" w:line="370" w:lineRule="atLeast"/>
              <w:ind w:left="101" w:right="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>电话、电脑、桌椅、柜等各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42"/>
                <w:sz w:val="24"/>
                <w:szCs w:val="24"/>
              </w:rPr>
              <w:t xml:space="preserve">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31" w:line="292" w:lineRule="auto"/>
              <w:ind w:left="100" w:right="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3．活动场地配有基本活动器材、文化设备和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书报杂志等，并有固定的开放时间、使用记录</w:t>
            </w:r>
          </w:p>
          <w:p>
            <w:pPr>
              <w:pStyle w:val="6"/>
              <w:spacing w:line="30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管理制度及设备安全使用规定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283"/>
              </w:tabs>
              <w:spacing w:before="1"/>
              <w:ind w:left="-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31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活动器材少于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项扣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  <w:p>
            <w:pPr>
              <w:pStyle w:val="6"/>
              <w:spacing w:before="67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分，其它每缺一项扣 1</w:t>
            </w:r>
          </w:p>
          <w:p>
            <w:pPr>
              <w:pStyle w:val="6"/>
              <w:spacing w:before="67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211" w:line="292" w:lineRule="auto"/>
              <w:ind w:left="172" w:righ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组织建设</w:t>
            </w:r>
          </w:p>
          <w:p>
            <w:pPr>
              <w:pStyle w:val="6"/>
              <w:spacing w:line="306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（12）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3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1．建家工作有规划、有目标，有安排，纳入</w:t>
            </w:r>
          </w:p>
          <w:p>
            <w:pPr>
              <w:pStyle w:val="6"/>
              <w:spacing w:before="67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单位整体工作规划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每缺一项扣 1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9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2．基层工会组织健全，按时按规定换届。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91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91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未按要求选举扣 3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62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3．领导班子重视支持工会工作，每学期至少</w:t>
            </w:r>
          </w:p>
          <w:p>
            <w:pPr>
              <w:pStyle w:val="6"/>
              <w:spacing w:before="64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一次听取研究工会工作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缺一次扣 1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3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实行预算管理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合理使用工会下拨活动经</w:t>
            </w:r>
          </w:p>
          <w:p>
            <w:pPr>
              <w:pStyle w:val="6"/>
              <w:spacing w:before="67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费，经费使用情况向会员公布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31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 xml:space="preserve">未实行预算管理扣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  <w:p>
            <w:pPr>
              <w:pStyle w:val="6"/>
              <w:spacing w:before="67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分，未合理使用扣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 w:line="290" w:lineRule="auto"/>
              <w:ind w:left="172" w:righ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民主管理</w:t>
            </w:r>
          </w:p>
          <w:p>
            <w:pPr>
              <w:pStyle w:val="6"/>
              <w:spacing w:before="2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（18）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33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1．建立二级教代会制度，每年按时召开教代</w:t>
            </w:r>
          </w:p>
          <w:p>
            <w:pPr>
              <w:pStyle w:val="6"/>
              <w:spacing w:before="5" w:line="374" w:lineRule="exact"/>
              <w:ind w:left="100" w:right="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会，会议程序规范，资料齐全。征集提案，发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挥教职工代表作用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33" w:line="290" w:lineRule="auto"/>
              <w:ind w:left="101" w:right="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未召开教代会扣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分，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议题不规范扣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 xml:space="preserve"> 分，提</w:t>
            </w:r>
          </w:p>
          <w:p>
            <w:pPr>
              <w:pStyle w:val="6"/>
              <w:spacing w:before="2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案未落实扣 1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292" w:lineRule="auto"/>
              <w:ind w:left="100" w:right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．教代会职权得到落实，审议单位重大事项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通过与教职工利益相关的分配方案，民主评议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党政领导干部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-183" w:right="5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67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33" w:line="290" w:lineRule="auto"/>
              <w:ind w:left="101" w:right="3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未参与重大事项讨论扣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分，未评议扣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分，分配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方案未提交教代会表决</w:t>
            </w:r>
          </w:p>
          <w:p>
            <w:pPr>
              <w:pStyle w:val="6"/>
              <w:spacing w:before="7"/>
              <w:ind w:left="10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通过扣2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31" w:line="290" w:lineRule="auto"/>
              <w:ind w:left="100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3．实行院务公开制度，制定院务公开实施细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则，对经费使用、分配、福利、人事、考核、</w:t>
            </w:r>
          </w:p>
          <w:p>
            <w:pPr>
              <w:pStyle w:val="6"/>
              <w:spacing w:before="2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奖惩等涉及教职工切身利益的内容进行公开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216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 xml:space="preserve">未推行院务公开扣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  <w:p>
            <w:pPr>
              <w:pStyle w:val="6"/>
              <w:spacing w:before="66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 xml:space="preserve">分，缺实施细则扣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28" w:type="dxa"/>
            <w:noWrap w:val="0"/>
            <w:vAlign w:val="top"/>
          </w:tcPr>
          <w:p>
            <w:pPr>
              <w:pStyle w:val="6"/>
              <w:spacing w:before="184" w:line="292" w:lineRule="auto"/>
              <w:ind w:left="172" w:righ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职工教育</w:t>
            </w:r>
          </w:p>
          <w:p>
            <w:pPr>
              <w:pStyle w:val="6"/>
              <w:spacing w:line="304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（16）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line="290" w:lineRule="auto"/>
              <w:ind w:left="100" w:right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1．重视教职工的发展权，建立有利于教职工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发展的培训、竞争、激励机制；组织开展教职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工职业技能培训与业务竞赛活动；关心青年教</w:t>
            </w:r>
          </w:p>
          <w:p>
            <w:pPr>
              <w:pStyle w:val="6"/>
              <w:spacing w:before="2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职工的发展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未开展竞赛扣 3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0" w:h="16840"/>
          <w:pgMar w:top="1600" w:right="780" w:bottom="1220" w:left="860" w:header="720" w:footer="720" w:gutter="0"/>
          <w:pgNumType w:fmt="decimal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4903"/>
        <w:gridCol w:w="645"/>
        <w:gridCol w:w="2577"/>
        <w:gridCol w:w="532"/>
        <w:gridCol w:w="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129" w:line="292" w:lineRule="auto"/>
              <w:ind w:left="100" w:right="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2．推进师德师风建设，组织教职工积极参与师德师风建设月活动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129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未开展相应活动每缺 1</w:t>
            </w:r>
          </w:p>
          <w:p>
            <w:pPr>
              <w:pStyle w:val="6"/>
              <w:spacing w:before="67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项扣 1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35" w:line="292" w:lineRule="auto"/>
              <w:ind w:left="100" w:right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坚持开展形式多样、有针对性的社会主义核心价值观教育、形势政策教育、主人翁意识教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育、遵纪守法教育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未开展相应活动扣 2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292" w:lineRule="auto"/>
              <w:ind w:left="172" w:righ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生活福利</w:t>
            </w:r>
          </w:p>
          <w:p>
            <w:pPr>
              <w:pStyle w:val="6"/>
              <w:spacing w:line="304" w:lineRule="exact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（12）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76" w:line="290" w:lineRule="auto"/>
              <w:ind w:left="100" w:right="49"/>
              <w:jc w:val="both"/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1．做好“慈善一日捐”工作；关心教职工的工作和生活，建立困难职工档案；建立送温暖长效机制，做好会员年节慰问工作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未建立困难职工档案扣</w:t>
            </w:r>
          </w:p>
          <w:p>
            <w:pPr>
              <w:pStyle w:val="6"/>
              <w:spacing w:before="64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76" w:line="290" w:lineRule="auto"/>
              <w:ind w:left="100" w:right="49"/>
              <w:jc w:val="both"/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2．关心教职工工作环境和劳动保护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未开展相应工作扣 2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83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3、关心爱护女职工，维护女职工特殊利益，</w:t>
            </w:r>
          </w:p>
          <w:p>
            <w:pPr>
              <w:pStyle w:val="6"/>
              <w:spacing w:before="67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积极开展女工工作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4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未开展女工工作扣 3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</w:t>
            </w:r>
          </w:p>
          <w:p>
            <w:pPr>
              <w:pStyle w:val="6"/>
              <w:spacing w:before="67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文体</w:t>
            </w:r>
          </w:p>
          <w:p>
            <w:pPr>
              <w:pStyle w:val="6"/>
              <w:spacing w:before="67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（14）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88" w:line="290" w:lineRule="auto"/>
              <w:ind w:left="100" w:right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1．关心教职工的身心健康，创建适合本单位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的特色活动，并定期开展有特色的集体性群众文体活动；积极组织教职工参加校内的各种文体活动或比赛；本单位文体活动教职工参与面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达到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60％以上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88" w:line="290" w:lineRule="auto"/>
              <w:ind w:left="101" w:right="4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未开展活动扣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 分，未参加学校比赛缺一项扣1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 xml:space="preserve"> 分，共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分，本单位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活动参与面人数未达要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求扣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93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2．通过校院各种媒介广泛宣传本单位工会工作，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交流工作经验，及时反映基层组织的工作动态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left="3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未向校工会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投稿扣 2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28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资料</w:t>
            </w:r>
          </w:p>
          <w:p>
            <w:pPr>
              <w:pStyle w:val="6"/>
              <w:spacing w:before="64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</w:t>
            </w:r>
          </w:p>
          <w:p>
            <w:pPr>
              <w:pStyle w:val="6"/>
              <w:spacing w:before="67"/>
              <w:ind w:left="1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（8）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64" w:line="290" w:lineRule="auto"/>
              <w:ind w:left="100" w:right="4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基层工会建立了各项工作制度，工作职责明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确，有宣传教育、政治及业务学习、劳动竞赛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等资料，证书奖牌、文体活动、互助活动、经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费开支等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完备，存档完整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4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64" w:line="290" w:lineRule="auto"/>
              <w:ind w:left="108" w:right="5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未建立制度或职责不明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确扣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分，记录不完全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 分，存档不完整扣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828" w:type="dxa"/>
            <w:noWrap w:val="0"/>
            <w:vAlign w:val="top"/>
          </w:tcPr>
          <w:p>
            <w:pPr>
              <w:pStyle w:val="6"/>
              <w:spacing w:before="204" w:line="290" w:lineRule="auto"/>
              <w:ind w:left="172" w:right="16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工会特色工作</w:t>
            </w:r>
          </w:p>
          <w:p>
            <w:pPr>
              <w:pStyle w:val="6"/>
              <w:spacing w:before="4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</w:t>
            </w:r>
          </w:p>
          <w:p>
            <w:pPr>
              <w:pStyle w:val="6"/>
              <w:spacing w:before="67"/>
              <w:ind w:left="107" w:right="-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）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spacing w:before="62" w:line="290" w:lineRule="auto"/>
              <w:ind w:left="100" w:right="5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62" w:line="290" w:lineRule="auto"/>
              <w:ind w:left="100" w:right="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形成实效明显、特色突出、具有借鉴和推广价值的创新工作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spacing w:before="62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62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有支撑材料经认定的每</w:t>
            </w:r>
          </w:p>
          <w:p>
            <w:pPr>
              <w:pStyle w:val="6"/>
              <w:spacing w:before="64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项加 5 分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28" w:type="dxa"/>
            <w:noWrap w:val="0"/>
            <w:vAlign w:val="top"/>
          </w:tcPr>
          <w:p>
            <w:pPr>
              <w:pStyle w:val="6"/>
              <w:spacing w:before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  <w:tc>
          <w:tcPr>
            <w:tcW w:w="4903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86"/>
              <w:ind w:lef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  <w:p>
            <w:pPr>
              <w:pStyle w:val="6"/>
              <w:spacing w:before="64"/>
              <w:ind w:lef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+10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00" w:h="16840"/>
          <w:pgMar w:top="1440" w:right="780" w:bottom="1220" w:left="860" w:header="0" w:footer="1033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Y4ZWVlMzUwZDdmOGY5NGZhZTU4ZjY5ODhiODEifQ=="/>
  </w:docVars>
  <w:rsids>
    <w:rsidRoot w:val="70B14537"/>
    <w:rsid w:val="70B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1317</Characters>
  <Lines>0</Lines>
  <Paragraphs>0</Paragraphs>
  <TotalTime>1</TotalTime>
  <ScaleCrop>false</ScaleCrop>
  <LinksUpToDate>false</LinksUpToDate>
  <CharactersWithSpaces>1401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2023-05-29T02:23:00Z</dcterms:created>
  <dc:creator>青藤</dc:creator>
  <cp:lastModifiedBy>青藤</cp:lastModifiedBy>
  <dcterms:modified xsi:type="dcterms:W3CDTF">2023-05-29T02:24:53Z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D9F5BFA437A6421583F32D0509F33F86_11</vt:lpwstr>
  </property>
</Properties>
</file>